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ONN's submission positions nonprofits as critical players in building the province's economy and improving community well-being. And our recommendations include: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    Enable a whole-of-government approach for Ontario’s 58,000 nonprofits and charities by creating a “home in government” for the sector.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     Ensure Ontarians have high-quality services by building a resilient nonprofit workforce.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    Strengthen the Ontario spirit by bolstering volunteerism.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4.     Leverage existing resources, including public infrastructure and procurement dollars, to multiply economic and social benefits in local communities.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Business / Arts recommends the following measures to the Federal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Government: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1. Establish a national, independent commission to explore cultural policy for Canada in the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21st Century.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2. Build a new Income Insurance and Benefits program that is open and accessible to all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workers to replace the out-dated Employment Insurance system.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Promote increased participation of audiences and donors in arts and culture to drive the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recovery.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Budgets should not be impacted by heavily relying on the small businesses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GAPS- OAC has numbers and information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